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185</w:t>
      </w:r>
    </w:p>
    <w:p>
      <w:r>
        <w:t>Bundesgericht (BGE), 1998-06-04, DE</w:t>
      </w:r>
    </w:p>
    <w:p>
      <w:r>
        <w:rPr>
          <w:b/>
        </w:rPr>
        <w:t xml:space="preserve">Quelle: </w:t>
      </w:r>
      <w:r>
        <w:t>https://mcp.opencaselaw.ch/entscheid/bge_124 V 185</w:t>
      </w:r>
    </w:p>
    <w:p>
      <w:r>
        <w:t>FR: ATF 124 V 185</w:t>
      </w:r>
    </w:p>
    <w:p>
      <w:r>
        <w:t>IT: DTF 124 V 185</w:t>
      </w:r>
    </w:p>
    <w:p>
      <w:pPr>
        <w:pStyle w:val="Heading2"/>
      </w:pPr>
      <w:r>
        <w:t>Regeste</w:t>
      </w:r>
    </w:p>
    <w:p>
      <w:r>
        <w:t>Regeste Art. 25, 31 Abs. 1, Art. 32, 33 Abs. 2 und 5, Art. 36 Abs. 3 KVG; Art. 33 lit. d KVV; Art. 17, 18, 19 KLV: zahnärztliche Behandlung in der obligatorischen Krankenpflegeversicherung. Am Grundsatz, dass die zahnärztlichen Behandlungen im allgemeinen nicht von der obligatorischen Krankenpflegeversicherung zu decken sind, hat der Gesetzgeber mit der Neuordnung nichts geändert. Die Liste der zu einer Leistungspflicht für zahnärztliche Behandlungen Anlass gebenden Krankheiten ist abschliessend. Es besteht folglich keine Leistungspflicht für zahnärztliche Behandlung bei Hiatusgleithernie mit Refluxösophagitis.</w:t>
      </w:r>
    </w:p>
    <w:p>
      <w:pPr>
        <w:pStyle w:val="Heading2"/>
      </w:pPr>
      <w:r>
        <w:t>Erwägungen</w:t>
      </w:r>
    </w:p>
    <w:p>
      <w:r>
        <w:rPr>
          <w:b/>
        </w:rPr>
        <w:t>E. 1</w:t>
      </w:r>
    </w:p>
    <w:p>
      <w:r>
        <w:t>Schwere aplastische Anämie,</w:t>
      </w:r>
    </w:p>
    <w:p>
      <w:r>
        <w:rPr>
          <w:b/>
        </w:rPr>
        <w:t>E. 2</w:t>
      </w:r>
    </w:p>
    <w:p>
      <w:r>
        <w:t>Agranulozytose,</w:t>
      </w:r>
    </w:p>
    <w:p>
      <w:r>
        <w:rPr>
          <w:b/>
        </w:rPr>
        <w:t>E. 3</w:t>
      </w:r>
    </w:p>
    <w:p>
      <w:r>
        <w:t>Zyklische Neutropenie,</w:t>
      </w:r>
    </w:p>
    <w:p>
      <w:r>
        <w:rPr>
          <w:b/>
        </w:rPr>
        <w:t>E. 4</w:t>
      </w:r>
    </w:p>
    <w:p>
      <w:r>
        <w:t>Chronische Neutropenie,</w:t>
      </w:r>
    </w:p>
    <w:p>
      <w:r>
        <w:rPr>
          <w:b/>
        </w:rPr>
        <w:t>E. 5</w:t>
      </w:r>
    </w:p>
    <w:p>
      <w:r>
        <w:t>Leukämie,</w:t>
      </w:r>
    </w:p>
    <w:p>
      <w:r>
        <w:rPr>
          <w:b/>
        </w:rPr>
        <w:t>E. 6</w:t>
      </w:r>
    </w:p>
    <w:p>
      <w:r>
        <w:t>Präleukämisches Syndrom,</w:t>
      </w:r>
    </w:p>
    <w:p>
      <w:r>
        <w:rPr>
          <w:b/>
        </w:rPr>
        <w:t>E. 7</w:t>
      </w:r>
    </w:p>
    <w:p>
      <w:r>
        <w:t>Chronische Granulozytopenie,</w:t>
      </w:r>
    </w:p>
    <w:p>
      <w:r>
        <w:rPr>
          <w:b/>
        </w:rPr>
        <w:t>E. 8</w:t>
      </w:r>
    </w:p>
    <w:p>
      <w:r>
        <w:t>"Lazy-leucocyte-Syndrom", BGE 124 V 185 S. 188</w:t>
      </w:r>
    </w:p>
    <w:p>
      <w:r>
        <w:rPr>
          <w:b/>
        </w:rPr>
        <w:t>E. 9</w:t>
      </w:r>
    </w:p>
    <w:p>
      <w:r>
        <w:t>Hämorrhagische Diathesen; b. Stoffwechselerkrankungen: 1. Akromegalie, 2. Hyperparathyreoidismus, 3. Idiopathischer Hypoparathyreoidismus, 4. Hypophosphatasie (genetisch bedingte Vitamin-D-resistente Rachitis); c. Weitere Erkrankungen: 1. Chronische Polyarthritis mit Kieferbeteiligung, 2. Morbus Bechterew mit Kieferbeteiligung, 3. Arthritis psoriatica mit Kieferbeteiligung, 4. Papillon-Lefèvre-Syndrom, 5. Sklerodermie, 6. AIDS, 7. Schwere psychische Erkrankungen mit konsekutiver schwerer Beeinträchtigung der Kaufunktion; d. Speicheldrüsenerkrankungen; e. Durch Zahn- oder Parodontalerkrankungen ausgelöste oder auslösbare Endokarditis." 2. a) Die Vorinstanz stellt sich auf den Standpunkt, die Hiatusgleithernie mit Refluxösophagitis sei zwar eine unangenehme und lästige Krankheit. Auch die Zahnschäden als Folge der in den Mund fliessenden Magensäure seien einschneidend. Von einer schweren Allgemeinerkrankung könne aber trotzdem nur dann gesprochen werden, wenn diese lebensbedrohend sei oder sonstwie zentrale organische oder psychische Funktionen des Betroffenen schwer beeinträchtige. Entscheidend sei schliesslich auch, dass die Erkrankung offensichtlich problemlos hätte behandelt werden können. b) Während die SWICA auf den vorinstanzlichen Entscheid verweist, lässt die Beschwerdeführerin im wesentlichen vorbringen, entgegen der Auffassung des kantonalen Gerichts sei dem Gesetz nicht zu entnehmen, dass die Krankheit tödlich oder lebensbedrohend sein oder sonstwie zentrale organische oder psychische Funktionen schwer beeinträchtigen müsse. Die Beschränkung der Leistungspflicht bei zahnärztlicher Behandlung folge gemäss der Gesetzessystematik nicht über eine richterliche Ausfüllung des unbestimmten Begriffes der schweren Allgemeinerkrankung gemäss Art. 31 KVG , sondern durch eine Beschränkung der Leistungen nach Art. 32 ff. KVG , namentlich nach Art. 33 Abs. 2 KVG , wonach die zu übernehmenden Leistungen durch Verordnung näher zu bestimmen seien. Indem die Art. 17 ff. KLV "schwere Allgemeinerkrankungen" aufführten, bei denen die Kosten der zahnärztlichen BGE 124 V 185 S. 189 Behandlungen zu übernehmen seien, sei es dem Richter verwehrt, den Katalog zusätzlich "auf tödliche Krankheiten" und dergleichen weiter einzuschränken. Was die vom Departement getroffene Regelung in Art. 18 KLV betreffe, so habe es die ihm vom Bundesrat eingeräumte Delegationsbefugnis überschritten. Statt dass es die "Leistungen" oder die "zahnärztlichen Behandlungen" bezeichne, die von der Krankenversicherung zu übernehmen seien, zähle es in Art. 18 KLV insgesamt 22 Allgemeinerkrankungen auf. Eine Beschränkung auf gewisse Krankheiten aus dem Kreis aller schweren Allgemeinerkrankungen sei aber weder dem Gesetz noch der Verordnung zu entnehmen. Nach dem klaren Wortlaut lasse das Gesetz allein die Möglichkeit der Leistungsbegrenzung als solche zu, nicht aber die Begrenzung auf bestimmte Krankheiten. Jedenfalls könne eine Aufzählung von Krankheiten, die sich nicht auf das Gesetz abstützen lasse, nicht abschliessend sein. Entscheidend sei allein, ob die Hiatusgleithernie mit Refluxösophagitis mit in Art. 18 KLV aufgeführten Krankheiten vergleichbar sei, was ärztlicherseits bejaht werde. Nötigenfalls sei dazu eine ärztliche Expertise einzuholen. 3. 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123 III 91 Erw. 3a, 444 Erw. 2, BGE 123 V 317 f. Erw. 4, BGE 122 III 325 Erw. 7a, 474 Erw. 5a, BGE 122 V 364 Erw. 4a, je mit Hinweisen; IMBODEN/RHINOW/KRÄHENMANN, Schweizerische Verwaltungsrechtsprechung, Nr. 21 B IV).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BGE 124 V 185 S. 190 Äusserungen, die unwidersprochen geblieben sind. Als verbindlich für den Richter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123 V 318 Erw. 4, BGE 115 V 349 Erw. 1c mit Hinweisen auf die Rechtsprechung und Lehre; vgl. auch BGE 122 III 325 Erw. 7a, 474 Erw. 5a, je mit Hinweisen). b) aa) Unter der Herrschaft des alten, bis 31. Dezember 1995 in Kraft gestandenen Rechts (Bundesgesetz über die Krankenversicherung vom 13. Juni 1911, KUVG) war die zahnärztliche Versorgung generell nicht ärztliche Behandlung. Nach ständiger Rechtsprechung zum KUVG kommt es bezüglich der Leistungspflicht der Krankenkassen nicht darauf an, ob solche Behandlungen von einem Arzt oder Zahnarzt vorgenommen werden. Weiter ist unerheblich die Ursache des Leidens oder die Tatsache, dass die Zahnbehandlung eine Folge anderer, ärztlich anzugehender Krankheiten ist. Ebensowenig ist die Wirkung der Zahnbehandlung auf den Gesundheitszustand eines Versicherten rechtserheblich, insbesondere die Verhütung oder günstige Beeinflussung von Krankheiten der Verdauungsorgane. Das Gericht hat sodann festgestellt, dass nur der Gesetzgeber diese gesetzliche Ordnung gemäss KUVG ändern könne ( BGE 120 V 195 Erw. 2b mit Hinweisen). bb) Das Eidg. Versicherungsgericht hat erkannt, dass die infolge Unverträglichkeit von Amalgam- und Chrom-Kobalt-Legierungen vorgenommenen Zahnsanierungen keine Pflichtleistung der Krankenkasse darstellen (RKUV 1995 Nr. K 968 S. 143). Die Leistungspflicht wurde sodann verneint für eine Zahnbehandlung bei kardialen Komplikationen ( BGE 116 V 114 ), desgleichen BGE 124 V 185 S. 191 für eine zahnprothetische Versorgung nach Karzinomoperation (RKUV 1990 Nr. 836 S. 135), bei einer Zahnbehandlung, die als Folge einer von der Krankenkasse übernommenen therapeutischen Massnahme (Radiotherapie) notwendig geworden war (RSKV 1981 Nr. 454 S. 150 Erw. 3, 1977 Nr. 276 S. 29 Erw. 2). Im unveröffentlichten Urteil K. vom 6. April 1994, in dem (gleich wie im vorliegenden Fall) eine Schädigung der Zähne durch endogene Säurebildung zur Diskussion stand, verneinte das Gericht eine Leistungspflicht der Krankenkasse für die Überschichtung der Zähne mit Keramik. c) Angesichts dieser Rechtslage, die allgemein als unbefriedigend bezeichnet wurde, schlug der Gesetzgeber eine neue Regelung in Art. 12 Abs. 2 des in der Volksabstimmung vom 6. Dezember 1987 verworfenen Bundesgesetzes über die Kranken- und Mutterschaftsversicherung (KMVG; vgl. BBl 1988 I 569) vor, der lautete: Die Leistungen der Krankenpflegeversicherung für Behandlungen durch einen Zahnarzt umfassen die vom Bundesrat näher bezeichneten Behandlungen nicht vermeidbarer Erkrankungen und ihrer Folgeschäden im Kausystem, sowie, falls hiefür keine andere Versicherung aufkommt, die Behandlung unfallbedingter Schäden des Kausystems (BBl 1987 I 987 f.). d) aa) Im Rahmen der daraufhin erneut an die Hand genommenen Revision der Krankenversicherung empfahl die Expertenkommission, gewisse besondere zahnärztliche Behandlungen in die obligatorische Krankenpflegeversicherung aufzunehmen. Zwar war die Kommission der Meinung, dass auch in Zukunft zahnärztliche Behandlungen im allgemeinen nicht von der obligatorischen Krankenpflegeversicherung gedeckt werden sollten. Hingegen sollten ihr die Kosten derjenigen zahnärztlichen Behandlungen übertragen werden, welche durch eine schwere Krankheit oder ihre Folgen bedingt oder die zur Behandlung einer schweren Krankheit oder ihrer Folgen notwendig seien. Die zu übernehmenden Fälle seien abschliessend in den Durchführungsbestimmungen aufzuzählen. Dieser Grundsatz erlaube es beispielsweise, die Kosten für die vorzeitige Extraktion von Zähnen im Hinblick auf eine Herzoperation oder für die prothetische Wiederherstellung im Anschluss an eine Strahlentherapie der obligatorischen Krankenpflegeversicherung zu überbinden (Bericht und Entwurf der Expertenkommission zur Revision der Krankenversicherung vom 2. November 1990, S. 52). BGE 124 V 185 S. 192 bb) Diese Ausrichtung setzte sich im Verlaufe der weiteren Gesetzgebungsarbeiten durch. Die bundesrätliche Vorlage an die Räte sah die Übernahme der Kosten für Zahnbehandlung vor, "wenn sie zur Behandlung einer schweren Krankheit notwendig sind (z.B. Zahnextraktion vor einer Herzoperation zur Vermeidung von Infektionen); (zweitens), wenn sie durch eine schwere Krankheit oder ihre Folgen bedingt sind (z.B. Wiederherstellung nach Zahnverlust wegen Strahlentherapie)" (Botschaft über die Revision der Krankenversicherung vom 6. November 1991, BBl 1992 I 93 ff.). Der Bundesrat wies darauf hin, dass der neue Leistungskatalog abschliessend konzipiert sei. Er hielt in diesem Zusammenhang fest: "Alle nicht im Gesetz und seinen Durchführungsbestimmungen aufgeführten Leistungen sind ausschliesslich Gegenstand von Zusatzversicherungen; diese können den Sonderwünschen Rechnung tragen; ..." (Botschaft vom 6. November 1991, BBl 1992 I 132). cc) In der parlamentarischen Beratung gingen die Meinungen über Tragweite und Ausmass der angestrebten Neuregelung auseinander. Während eine Minderheit in Anlehnung an den bundesrätlichen Entwurf die Leistungspflicht der obligatorischen Krankenversicherung auch bei schweren Karies- und parodontischen Erkrankungen bejahen wollte (Votum Meier, Sprecherin der Minderheit; Amtl.Bull. 1992 S 1301), lehnte dies die Mehrheit unter Hinweis auf die bestehenden Präventionsmassnahmen und -ziele ab und sah eine Pflichtleistung nur vor, wenn die zahnärztliche Behandlung durch eine "schwere, nicht vermeidbare Erkrankung des Kausystems" bedingt ist (Votum Huber, Amtl.Bull. 1992 S 1301). Beide Räte stimmten in der Folge dem heutigen, gegenüber dem bundesrätlichen Entwurf restriktiveren Wortlaut von Art. 31 Abs. 1 KVG (vgl. Erw. 1a) zu (Amtl.Bull. 1992 S 1301 f., Amtl.Bull. 1992 N 1843 f.). e) Aus den Materialien, insbesondere den Voten in der parlamentarischen Diskussion, ist zu schliessen, dass der Gesetzgeber willens war, die aus der früheren Ordnung gemäss KUVG sich ergebenden stossenden Ergebnisse (Erw. 3b) zu beseitigen. Am Grundsatz jedoch, dass die Zahnbehandlungen im allgemeinen nicht in den Leistungsbereich der obligatorischen Krankenversicherung gehören, hat er nichts ändern wollen. Während Art. 12 KUVG in bezug auf die Leistungen einen blossen Mindestkatalog ohne zahnärztliche Vorkehren normierte, ist der neue Leistungskatalog gemäss KVG zwar gerade um dentalmedizinische Massnahmen erweitert, dieser aber BGE 124 V 185 S. 193 abschliessend konzipiert worden. Nach der Regelung von Art. 31 Abs. 1 KVG sind gewisse zahnärztliche Behandlungen vom Krankenversicherer zu übernehmen, die davon zu unterscheidenden anderen zahnärztlichen Therapien jedoch nicht. Dieser Schluss findet Unterstützung in Art. 34 Abs. 1 KVG , wonach die Versicherer im Obligatoriumsbereich keine anderen Kosten als diejenigen für die Leistungen nach den Art. 25-33 KVG übernehmen dürfen. 4. Die Liste der zu zahnärztlichen Behandlungen Anlass gebenden Krankheiten in den Art. 17-19 KLV ist im Lichte der formell- gesetzlichen Ausgangslage als abschliessend zu verstehen. Dies ergibt sich schon aus dem Wortlaut von Art. 33 Abs. 2 KVG , wonach der Bundesrat die Leistungen oder Behandlungen durch Zahnärzte näher zu bezeichnen hat. Für eine nur beispielhafte Aufzählung finden sich keine Anhaltspunkte weder in den Texten der Delegationsnormen ( Art. 33 Abs. 2 KVG , Art. 33 lit. d KVV ) noch in den Art. 17-19 KLV selber. Auch die Materialien sprechen für eine abschliessende Nennung der Krankheiten, welche von der obligatorischen Krankenversicherung zu übernehmende zahnärztliche Leistungen oder Behandlungen auslösen können. In Bericht und Entwurf der Expertenkommission vom 2. November 1990 ebenso wie in der bundesrätlichen Botschaft vom 6. November 1991 wurde, wie dargelegt (Erw. 3d/aa, bb), jeweils ausdrücklich die abschliessende Aufzählung durch den Verordnungsgeber betont. In der Detailberatung der Vorlage durch die nationalrätliche Kommission sprach Nationalrat Jöri davon, der Bundesrat habe auf Verordnungsstufe die "Krankheiten" abschliessend aufzuzählen, bei denen die zahnärztlichen Leistungen durch die Krankenversicherung gedeckt seien (Protokoll der nationalrätlichen Kommission für Soziale Sicherheit und Gesundheit [SGK] vom 1. April 1993, S. 34). An der gleichen Sitzung erklärte Bundesrätin Dreifuss, die Gerichte könnten sich bei ihrer Rechtsprechung auf eine "liste positive des maladies donnant lieu à des prestations présentées dans l'ordonnance" stützen (Protokoll a.a.O., S. 35). Auch Seiler wies darauf hin, dass die Verwaltung die schweren Krankheiten zu definieren habe (Protokoll a.a.O., S. 36). In der Beratung im Plenum wiederholte Jöri, der Bundesrat könne in den Vollzugsbestimmungen abschliessend festlegen, für welche schweren Erkrankungen die Kosten der zahnärztlichen Behandlungen von der Krankenversicherung übernommen werden müssten (Amtl.Bull. 1993 N 1843). BGE 124 V 185 S. 194 Ist demnach die Aufzählung der zu zahnärztlichen Behandlungen Anlass gebenden Krankheiten in Art. 18 KLV als abschliessend zu betrachten, so ist der Anspruch der Beschwerdeführerin auf Übernahme der Kosten durch die obligatorische Krankenversicherung nicht ausgewiesen, weil die Krankheit darin nicht aufgeführt ist. Sollte ihr Begehren, es sei zu prüfen, ob ihre Krankheit mit einer der aufgeführten Krankheiten vergleichbar sei, als Begehren um Überprüfung des Art. 18 KLV durch das Eidg. Versicherungsgericht auf Vollständigkeit hin zu verstehen sein, so wäre die Antwort in Erw. 6 zu finden. 5. Die Beschwerdeführerin wendet ein, das Departement habe in Art. 18 KLV statt "Leistungen" oder "zahnärztliche Behandlungen", die von der Krankenversicherung zu übernehmen seien ( Art. 33 Abs. 2 KVG , Art. 33 lit. d KVV ), eine Reihe von Allgemeinerkrankungen, in deren Zusammenhang solche Leistungen oder Behandlungen notwendig werden könnten, aufgezählt. Es habe damit seine Delegationsbefugnis überschritten. a)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123 II 44 Erw. 2b, 475 Erw. 4a, BGE 123 V 84 f. Erw. 4a, BGE 122 V 93 f. Erw. 5a/bb, je mit Hinweisen). Diese Grundsätze gelten sinngemäss bei Verordnungen der Departemente. BGE 124 V 185 S. 195 b) Zur Erfüllung der ihm vom Bundesrat übertragenen Aufgabe, die Leistungen oder zahnärztlichen Behandlungen zu bezeichnen, die im Sinne von Art. 31 Abs. 1 KVG von der Krankenversicherung zu übernehmen sind, stand dem Departement gesetzestechnisch keine andere brauchbare Lösung zur Verfügung, als die Krankheiten aufzuzählen, in deren Zusammenhang solche Leistungen oder Behandlungen zu erbringen sind. Eine Aufzählung sämtlicher zahnärztlicher Verrichtungen, welche im Zusammenhang mit den aufgeführten Krankheiten notwendig werden können, hätte zu einem umfangreichen Katalog geführt, der schliesslich der gleichen Gesetzestechnik der Aufzählung der Krankheiten hätte folgen müssen, in deren Verlauf die zahnärztlichen Verrichtungen vorzunehmen sind. Im übrigen hat bereits der Bundesgesetzgeber keine andere Gesetzestechnik gesehen. Auch er hat in Art. 31 Abs. 1 KVG die Krankheiten in den Mittelpunkt gestellt, in deren Zusammenhang zahnärztliche Behandlungen notwendig werden können. Dabei fehlt es keineswegs an einer Umschreibung der von der obligatorischen Krankenversicherung zu übernehmenden zahnärztlichen Behandlungen. Auch wenn sie allgemein gehalten ist, erlaubt sie doch eine Abgrenzung der vom Krankenversicherer als Pflichtleistung zu übernehmenden Behandlungen. Diese müssen wirksam, zweckmässig und wirtschaftlich ( Art. 32 Abs. 1 KVG ) sowie zur Behandlung des Leidens notwendig sein ( Art. 18 KLV ). Von einer Überschreitung der Delegationsbefugnis durch das Departement kann somit nicht die Rede sein. 6. Im Rahmen der dargelegten Überprüfungsbefugnis von Verordnungen ist es dem Eidg. Versicherungsgericht auch nicht verwehrt, der Frage nachzugehen, ob eine Krankheit in Art. 18 KLV zu Unrecht nicht aufgeführt ist. Dabei hat es sich allerdings aus zwei Gründen grosse Zurückhaltung aufzuerlegen. a) Zunächst handelt es sich bei der Krankenpflege-Leistungsverordnung um eine departementale Verordnung, deren Änderung und fortlaufende Anpassung an die Bedürfnisse der Praxis einfach ist. Einer Beschlussfassung durch den Gesamtbundesrat bedarf es nicht; eine departementale Vorlage genügt. b) Zum andern liegt der Aufzählung der Krankheiten in Art. 18 KLV eine Konsultation der Eidg. Kommission für allgemeine Leistungen zugrunde ( Art. 33 lit. d und Art. 37a lit. b KVV ). Eine richterliche Ergänzung der Liste würde ohnehin eine vorgängige Anhörung von Experten voraussetzen, was geraume Zeit in Anspruch nähme und erst noch den Nachteil hätte, dass im BGE 124 V 185 S. 196 Falle einer richterlichen Ergänzung die Liste der Krankheiten nicht auf einheitlicher fachmännischer Beurteilung beruhen würde. Die Beschwerdeführerin bringt nichts vor, was das Eidg. Versicherungsgericht trotz der gebotenen Zurückhaltung veranlassen könnte, eine Aufnahme ihres Leidens in die Liste der Krankheiten von Art. 18 KLV ernsthaft in Prüfung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